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71" w:rsidRPr="00393D71" w:rsidRDefault="00393D71" w:rsidP="00393D71">
      <w:pPr>
        <w:pStyle w:val="short"/>
        <w:shd w:val="clear" w:color="auto" w:fill="F1F6F9"/>
        <w:jc w:val="center"/>
      </w:pPr>
      <w:r w:rsidRPr="00393D71">
        <w:rPr>
          <w:b/>
          <w:bCs/>
        </w:rPr>
        <w:t xml:space="preserve">Ряд муниципалитетов Челябинской области отстают от графика внедрения целевой модели (ЦМ) «Постановка на кадастровый учет земельных участков и объектов недвижимого имущества». Причем органы местного самоуправления не выполняют даже ту часть мероприятий, которая не предусматривает финансирования и требует только организационных усилий. Об это стало известно на прошедшем совещании под председательством заместителя губернатора Челябинской области Руслана </w:t>
      </w:r>
      <w:proofErr w:type="spellStart"/>
      <w:r w:rsidRPr="00393D71">
        <w:rPr>
          <w:b/>
          <w:bCs/>
        </w:rPr>
        <w:t>Гаттарова</w:t>
      </w:r>
      <w:proofErr w:type="spellEnd"/>
      <w:r w:rsidRPr="00393D71">
        <w:rPr>
          <w:b/>
          <w:bCs/>
        </w:rPr>
        <w:t>.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Целевая модель призвана упростить процедуры предоставления земельных участков, находящихся в государственной или муниципальной собственности, а также сократить сроки постановки объектов недвижимости на государственный кадастровый учет.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>Показатели целевой модели распр</w:t>
      </w:r>
      <w:bookmarkStart w:id="0" w:name="_GoBack"/>
      <w:bookmarkEnd w:id="0"/>
      <w:r w:rsidRPr="00393D71">
        <w:t xml:space="preserve">еделены по трем основным зонам ответственности: федеральных органов власти, органов местного самоуправления и профессиональных участников рынка. Согласно целевой модели и «дорожной карте», 11 из 16 показателей находятся в зоне ответственности муниципалитетов.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>«</w:t>
      </w:r>
      <w:r w:rsidRPr="00393D71">
        <w:rPr>
          <w:rStyle w:val="a4"/>
        </w:rPr>
        <w:t>В ряде муниципалитетов вызывают опасения темпы достижения как раз тех целевых показателей, которые находятся в зоне ответственности органов местного самоуправления. Есть риски не успеть в срок, чего ни в коем случае нельзя допустить, поскольку «дорожные карты» утверждены губернатором, и их реализация влияет на инвестиционную привлекательность региона</w:t>
      </w:r>
      <w:r w:rsidRPr="00393D71">
        <w:t xml:space="preserve">, - заявила </w:t>
      </w:r>
      <w:proofErr w:type="spellStart"/>
      <w:r w:rsidRPr="00393D71">
        <w:t>и.о</w:t>
      </w:r>
      <w:proofErr w:type="spellEnd"/>
      <w:r w:rsidRPr="00393D71">
        <w:t xml:space="preserve">. руководителя управления Федеральной службы государственной регистрации, кадастра и картографии по Челябинской области </w:t>
      </w:r>
      <w:r w:rsidRPr="00393D71">
        <w:rPr>
          <w:rStyle w:val="a5"/>
        </w:rPr>
        <w:t>Ольга Смирных</w:t>
      </w:r>
      <w:r w:rsidRPr="00393D71">
        <w:t xml:space="preserve">. - </w:t>
      </w:r>
      <w:r w:rsidRPr="00393D71">
        <w:rPr>
          <w:rStyle w:val="a4"/>
        </w:rPr>
        <w:t xml:space="preserve">При этом речь </w:t>
      </w:r>
      <w:proofErr w:type="gramStart"/>
      <w:r w:rsidRPr="00393D71">
        <w:rPr>
          <w:rStyle w:val="a4"/>
        </w:rPr>
        <w:t>идет</w:t>
      </w:r>
      <w:proofErr w:type="gramEnd"/>
      <w:r w:rsidRPr="00393D71">
        <w:rPr>
          <w:rStyle w:val="a4"/>
        </w:rPr>
        <w:t xml:space="preserve"> в том числе о тех показателях, которые не зависят от финансирования и требуют лишь организационной работы. Это, в частности, сокращение сроков присвоения адресов и сроков размещения на кадастровом плане</w:t>
      </w:r>
      <w:r w:rsidRPr="00393D71">
        <w:t xml:space="preserve">».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>Главы доложили на совещании о ходе реализации "</w:t>
      </w:r>
      <w:proofErr w:type="gramStart"/>
      <w:r w:rsidRPr="00393D71">
        <w:t>дорожных</w:t>
      </w:r>
      <w:proofErr w:type="gramEnd"/>
      <w:r w:rsidRPr="00393D71">
        <w:t xml:space="preserve"> март". В частности, о своих успехах рассказали представители </w:t>
      </w:r>
      <w:proofErr w:type="gramStart"/>
      <w:r w:rsidRPr="00393D71">
        <w:t>Магнитогорского</w:t>
      </w:r>
      <w:proofErr w:type="gramEnd"/>
      <w:r w:rsidRPr="00393D71">
        <w:t xml:space="preserve"> и </w:t>
      </w:r>
      <w:proofErr w:type="spellStart"/>
      <w:r w:rsidRPr="00393D71">
        <w:t>Снежинского</w:t>
      </w:r>
      <w:proofErr w:type="spellEnd"/>
      <w:r w:rsidRPr="00393D71">
        <w:t xml:space="preserve"> городских округов - лидеров по достижению целевых показателей. Так, в Магнитогорске, по словам председателя городского комитета по управлению имуществом и земельными отношениями </w:t>
      </w:r>
      <w:r w:rsidRPr="00393D71">
        <w:rPr>
          <w:rStyle w:val="a5"/>
        </w:rPr>
        <w:t xml:space="preserve">Валерия </w:t>
      </w:r>
      <w:proofErr w:type="spellStart"/>
      <w:r w:rsidRPr="00393D71">
        <w:rPr>
          <w:rStyle w:val="a5"/>
        </w:rPr>
        <w:t>Трубникова</w:t>
      </w:r>
      <w:proofErr w:type="spellEnd"/>
      <w:r w:rsidRPr="00393D71">
        <w:t xml:space="preserve">, «дорожная карта» по кадастровому учету и </w:t>
      </w:r>
      <w:proofErr w:type="spellStart"/>
      <w:r w:rsidRPr="00393D71">
        <w:t>госрегистрации</w:t>
      </w:r>
      <w:proofErr w:type="spellEnd"/>
      <w:r w:rsidRPr="00393D71">
        <w:t xml:space="preserve"> выполнена на 85%.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Особое внимание было уделено выступлениям глав Сосновского муниципального района, Златоустовского и </w:t>
      </w:r>
      <w:proofErr w:type="spellStart"/>
      <w:r w:rsidRPr="00393D71">
        <w:t>Миасского</w:t>
      </w:r>
      <w:proofErr w:type="spellEnd"/>
      <w:r w:rsidRPr="00393D71">
        <w:t xml:space="preserve"> городских округов, в которых отмечается наиболее низкие текущие показатели по целевой модели. В ходе обсуждения Руслан </w:t>
      </w:r>
      <w:proofErr w:type="spellStart"/>
      <w:r w:rsidRPr="00393D71">
        <w:t>Гаттаров</w:t>
      </w:r>
      <w:proofErr w:type="spellEnd"/>
      <w:r w:rsidRPr="00393D71">
        <w:t xml:space="preserve"> указал представителям муниципалитетов на необходимость более эффективно организовать работу по исполнению мероприятий «дорожной карты».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rPr>
          <w:rStyle w:val="a4"/>
        </w:rPr>
        <w:t> «Проектный офис в режиме реального времени оценивает результаты работ по реализации «дорожных карт», информация о наиболее и наименее активных муниципалитетах регулярно доводится до губернатора, который лично контролирует внедрение целевых моделей. Необходимо отнестись к выполнению этой задачи максимально серьезно, поскольку результат зависит от работы каждого муниципалитета», -</w:t>
      </w:r>
      <w:r w:rsidRPr="00393D71">
        <w:t xml:space="preserve"> отметил </w:t>
      </w:r>
      <w:r w:rsidRPr="00393D71">
        <w:rPr>
          <w:rStyle w:val="a5"/>
        </w:rPr>
        <w:t xml:space="preserve">Руслан </w:t>
      </w:r>
      <w:proofErr w:type="spellStart"/>
      <w:r w:rsidRPr="00393D71">
        <w:rPr>
          <w:rStyle w:val="a5"/>
        </w:rPr>
        <w:t>Гаттаров</w:t>
      </w:r>
      <w:proofErr w:type="spellEnd"/>
      <w:r w:rsidRPr="00393D71">
        <w:t xml:space="preserve">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Представителям отстающих муниципалитетов поручено в кратчайшие сроки </w:t>
      </w:r>
      <w:proofErr w:type="gramStart"/>
      <w:r w:rsidRPr="00393D71">
        <w:t>организовать</w:t>
      </w:r>
      <w:proofErr w:type="gramEnd"/>
      <w:r w:rsidRPr="00393D71">
        <w:t xml:space="preserve"> работу по сокращению сроков оказания услуг и внедрению лучших муниципальных практик.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В работе совещания участвовали представители Общественной палаты Челябинской области, Министерства имущества и природных ресурсов Челябинской области, Управления </w:t>
      </w:r>
      <w:proofErr w:type="spellStart"/>
      <w:r w:rsidRPr="00393D71">
        <w:lastRenderedPageBreak/>
        <w:t>Росреестра</w:t>
      </w:r>
      <w:proofErr w:type="spellEnd"/>
      <w:r w:rsidRPr="00393D71">
        <w:t xml:space="preserve"> по Челябинской области, филиала Федеральной кадастровой палаты </w:t>
      </w:r>
      <w:proofErr w:type="spellStart"/>
      <w:r w:rsidRPr="00393D71">
        <w:t>Росреестра</w:t>
      </w:r>
      <w:proofErr w:type="spellEnd"/>
      <w:r w:rsidRPr="00393D71">
        <w:t xml:space="preserve"> по Челябинской области, а также главы органов местного самоуправления Челябинской области. Подобные совещания проводятся на постоянной основе с заслушиванием отчетов глав муниципальных образований о конкретных мерах, принимаемых по достижению показателей «дорожной карты», установленных губернатором Челябинской области.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rPr>
          <w:rStyle w:val="a5"/>
        </w:rPr>
        <w:t>Мнение:</w:t>
      </w:r>
      <w:r w:rsidRPr="00393D71">
        <w:t xml:space="preserve">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>«</w:t>
      </w:r>
      <w:r w:rsidRPr="00393D71">
        <w:rPr>
          <w:rStyle w:val="a4"/>
        </w:rPr>
        <w:t>Эффективное использование земельных ресурсов для муниципального образования  - это рост налоговых поступлений и доходов от сдачи земли в аренду, но не стоит использовать только фискальную функцию кадастровой оценки. Механизм роста инвестиционной привлекательности региона заработает как часы только в случае совпадения интересов власти, бизнеса и населения на уровне муниципальных образований. Нужно, чтобы предприниматели знали, что недвижимость не станет для них непосильным бременем. При реализации «дорожных карт» нужно внедрять действующие механизмы защиты инвестора и собственника от резкого роста налогов и арендных платежей, поддержки бизнеса на различных этапах жизненного цикла, льготные условия инвестирования. В этом случае инвестиционная привлекательность территорий будет возрастать</w:t>
      </w:r>
      <w:r w:rsidRPr="00393D71">
        <w:t xml:space="preserve">», - комментирует преподаватель кафедры бухгалтерского учета, анализа и аудита НИУ </w:t>
      </w:r>
      <w:proofErr w:type="spellStart"/>
      <w:r w:rsidRPr="00393D71">
        <w:t>ЮурГУ</w:t>
      </w:r>
      <w:proofErr w:type="spellEnd"/>
      <w:r w:rsidRPr="00393D71">
        <w:t xml:space="preserve">, директор ООО «Центр независимой оценки и юридической помощи» </w:t>
      </w:r>
      <w:r w:rsidRPr="00393D71">
        <w:rPr>
          <w:rStyle w:val="a5"/>
        </w:rPr>
        <w:t>Мария Лаврова</w:t>
      </w:r>
      <w:r w:rsidRPr="00393D71">
        <w:t xml:space="preserve">. </w:t>
      </w:r>
    </w:p>
    <w:p w:rsidR="00393D71" w:rsidRPr="00393D71" w:rsidRDefault="00393D71" w:rsidP="00393D71">
      <w:pPr>
        <w:pStyle w:val="a3"/>
        <w:ind w:firstLine="709"/>
        <w:jc w:val="both"/>
      </w:pPr>
      <w:proofErr w:type="spellStart"/>
      <w:r w:rsidRPr="00393D71">
        <w:t>Справочно</w:t>
      </w:r>
      <w:proofErr w:type="spellEnd"/>
      <w:r w:rsidRPr="00393D71">
        <w:t xml:space="preserve">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Целевая модель «Кадастр» утверждена распоряжением Правительства РФ от 31.01.2017 №147-р в целях упрощения ведения бизнеса и повышения инвестиционной привлекательности субъектов РФ. На ее внедрение направлена реализация одной из региональных «дорожных карт» по улучшению делового климата в Челябинской области, утвержденных в феврале губернатором Борисом Дубровским.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Напомним, 15 февраля Борис Дубровский утвердил региональные «дорожные карты» по внедрению целевых моделей - наборов ключевых факторов, наиболее влияющих на деловой климат. Это план </w:t>
      </w:r>
      <w:proofErr w:type="gramStart"/>
      <w:r w:rsidRPr="00393D71">
        <w:t>мероприятий</w:t>
      </w:r>
      <w:proofErr w:type="gramEnd"/>
      <w:r w:rsidRPr="00393D71">
        <w:t xml:space="preserve"> в котором прописаны текущие и планируемые показатели, сроки, ответственные лица. «Дорожные карты» и текущие значения показателей занесены в информационную систему </w:t>
      </w:r>
      <w:proofErr w:type="spellStart"/>
      <w:r w:rsidRPr="00393D71">
        <w:t>Region</w:t>
      </w:r>
      <w:proofErr w:type="spellEnd"/>
      <w:r w:rsidRPr="00393D71">
        <w:t xml:space="preserve">-ID. Сформирован профиль региона для дальнейшей работы управленческих команд по внедрению региональных «дорожных карт» по улучшению </w:t>
      </w:r>
      <w:proofErr w:type="gramStart"/>
      <w:r w:rsidRPr="00393D71">
        <w:t>бизнес-климата</w:t>
      </w:r>
      <w:proofErr w:type="gramEnd"/>
      <w:r w:rsidRPr="00393D71">
        <w:t xml:space="preserve"> на Южном Урале. </w:t>
      </w:r>
    </w:p>
    <w:p w:rsidR="00393D71" w:rsidRPr="00393D71" w:rsidRDefault="00393D71" w:rsidP="00393D71">
      <w:pPr>
        <w:pStyle w:val="a3"/>
        <w:ind w:firstLine="709"/>
        <w:jc w:val="both"/>
      </w:pPr>
      <w:r w:rsidRPr="00393D71">
        <w:t xml:space="preserve">Ключевая роль по большому перечню работ отведена муниципалитетам. Основная задача руководителей органов местного самоуправления (ОМС) - обеспечить достижение значений показателей по направлениям национального рейтинга и по ключевым факторам 9 целевых моделей в зоне своей ответственности. В итоге во всей области должны сложиться единые комфортные условия ведения бизнеса. </w:t>
      </w:r>
    </w:p>
    <w:p w:rsidR="00626DEC" w:rsidRDefault="00626DEC" w:rsidP="00393D71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1"/>
    <w:rsid w:val="00393D71"/>
    <w:rsid w:val="00626DEC"/>
    <w:rsid w:val="006501F1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393D7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D7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D71"/>
    <w:rPr>
      <w:i/>
      <w:iCs/>
    </w:rPr>
  </w:style>
  <w:style w:type="character" w:styleId="a5">
    <w:name w:val="Strong"/>
    <w:basedOn w:val="a0"/>
    <w:uiPriority w:val="22"/>
    <w:qFormat/>
    <w:rsid w:val="00393D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393D7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3D7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3D71"/>
    <w:rPr>
      <w:i/>
      <w:iCs/>
    </w:rPr>
  </w:style>
  <w:style w:type="character" w:styleId="a5">
    <w:name w:val="Strong"/>
    <w:basedOn w:val="a0"/>
    <w:uiPriority w:val="22"/>
    <w:qFormat/>
    <w:rsid w:val="0039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2017-05-25T11:53:00Z</dcterms:created>
  <dcterms:modified xsi:type="dcterms:W3CDTF">2017-05-25T11:54:00Z</dcterms:modified>
</cp:coreProperties>
</file>