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jc w:val="left"/>
        <w:outlineLvl w:val="0"/>
        <w:rPr>
          <w:rFonts w:ascii="Droid Sans" w:eastAsia="Times New Roman" w:hAnsi="Droid Sans"/>
          <w:color w:val="333333"/>
          <w:kern w:val="36"/>
          <w:sz w:val="48"/>
          <w:szCs w:val="48"/>
          <w:lang w:eastAsia="ru-RU"/>
        </w:rPr>
      </w:pPr>
      <w:r w:rsidRPr="00AD6BCB">
        <w:rPr>
          <w:rFonts w:ascii="Droid Sans" w:eastAsia="Times New Roman" w:hAnsi="Droid Sans"/>
          <w:color w:val="333333"/>
          <w:kern w:val="36"/>
          <w:sz w:val="48"/>
          <w:szCs w:val="48"/>
          <w:lang w:eastAsia="ru-RU"/>
        </w:rPr>
        <w:t>В Челябинске обсудили подход к инновациям и стратегию-2035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В рамках Уральской промышленно-экономической недели, которая проходит в Челябинске, эксперты рассказали о том, каким видится будущее экономики региона. В данный момент власти готовят документ под условным названием «Стратегия-2035», в котором пытаются угадать мировые тенденции. По признанию министра экономического развития Челябинской области Сергея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Смольникова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, регион остается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старопромышленной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территорией, где доминируют отрасли, которые к 2035 году вряд ли будут передовыми.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«Наша стратегия — использовать эту платформу и агрессивно освоить новые рынки. К 2035 году экономика должна стать качественно другой. Мы не хотим никого догонять и копировать чужие технологии. К тому времени могут сложиться рынки, которых сегодня нет. Они оцениваются в миллиарды долларов, и они свободны. И мы должны вырастить у себя компетенции, которые помогут занять эти рынки или даже сформировать их», — оптимистично заявил Сергей Смольников.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При этом он отметил, что у региона есть проблемы с инновациями. Так в рейтинге инновационного развития Челябинская область занимает 21-е место. Лидеры — Москва, Санкт-Петербург и Татарстан.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«Выиграет тот, кто сделает ставку на инновационную волну, — считает Смольников. — Если сформулировать нашу стратегическую цель одной фразой, то это не проспать точку роста. Есть проблемы в работе институтов развития. Основные элементы инновационной системы мы запустили. Но цепочка от генерации идей до конечного продукта не работает. У нас слабый сегмент инфраструктурной поддержки инноваций. Сейчас работа институтов заточена на развитие производства, на его модернизацию. А акцент надо делать на инновации. У нас слабая системная координация инновационного развития. Нет логичного алгоритма взаимодействия».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drawing>
          <wp:inline distT="0" distB="0" distL="0" distR="0" wp14:anchorId="40DFA4E4" wp14:editId="5EC59EA9">
            <wp:extent cx="6343650" cy="4229100"/>
            <wp:effectExtent l="0" t="0" r="0" b="0"/>
            <wp:docPr id="1" name="Рисунок 1" descr="Сергей См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ергей См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Сергей Смольников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Министр заявил и о том, что в регионе каждый институт развития работает исключительно в своем сегменте.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И потенциальный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инноватор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не может пройти по подобным структурам, как по конвейеру — от генерации идеи, </w:t>
      </w: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lastRenderedPageBreak/>
        <w:t>получения ресурсов для реализации до выхода на рынок.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Кроме того, в регионе нет рынка технологических партнеров: при наличии промышленных гигантов, которые нуждаются в новых технологиях и разработках, нет мелких компаний, которые бы получали заказы на подобные работы.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«Приведу пример, — пояснил Сергей Смольников. — Перед ММК стоит задача решить вопрос с отходами производства, с хвостами. Они уже несколько лет пытаются нащупать технологию, которая позволит им эффективно перерабатывать хвосты. Оказывается, есть заказ на инновацию, но об этом знает только узкий круг людей. И у нас нет площадки, где бы эти заказы размещались».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drawing>
          <wp:inline distT="0" distB="0" distL="0" distR="0" wp14:anchorId="05360CD4" wp14:editId="0596C7E8">
            <wp:extent cx="6343650" cy="4229100"/>
            <wp:effectExtent l="0" t="0" r="0" b="0"/>
            <wp:docPr id="2" name="Рисунок 2" descr="https://img.znak.com/1399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g.znak.com/13992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Еще одна проблема — низкие компетенции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инноваторов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в сфере поиска инвестиций и продаж, что мешает выходить на рынки. По словам министра, стратегия предполагает, что к 2020 году в регионе будет сформировано инновационное сообщество, которое начнет генерировать прорывные идеи. К этому же моменту будет запущен механизм лифта от идеи до коммерческой реализации. К 2025 году в Челябинской области должен активно работать инновационный процесс, должна быть создана комфортная среда для предпринимательской активности, запущена система технологических чемпионов, которые получат максимальную поддержку.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В 2035 году регион должен существенно подняться в инновационном рейтинге, а экономика — перейти на шестой технологический уклад.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«Пока в стратегии мало оцифровки, — говорит Сергей Смольников. — Но над этим как раз сейчас идет работа».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При этом в регионе есть примеры прорывных идей, которые могут конкурировать на мировом уровне. Так, магнитогорская компания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Андроидная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техника» разработала ряд роботов для нужд Министерства обороны. Практически готовы к запуску роботы, которые могут передвигаться по сложному рельефу, переносить вооружение, боеприпасы, оборудование или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раненных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. Кроме того, проходит приемку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экзоскелет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для спецподразделений, который позволяет нагрузить бойца дополнительным вооружением без потери мобильности.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4C0C0E9A" wp14:editId="059902AA">
            <wp:extent cx="6343650" cy="4229100"/>
            <wp:effectExtent l="0" t="0" r="0" b="0"/>
            <wp:docPr id="3" name="Рисунок 3" descr="https://img.znak.com/1399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.znak.com/13992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Есть и мирные технологии: так, в компании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Папилон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» выпустили первую партию очков виртуальной реальности, которые совместимы с различными платформами. Этот проект создавался на грант фонда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Сколково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», изделия уже готовы к продаже. А система распознавания лица, созданная параллельно с очками виртуальной реальности, признана одной из лучших в мире.</w:t>
      </w:r>
    </w:p>
    <w:p w:rsid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«Многие компан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ии уе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зжают из региона, когда достигают определенного уровня развития, — говорит совладелец компании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Папилон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» Павел Зайцев. — Весь потенциал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инноватора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— это голова. Такие люди могут быстро собраться и уехать в любую точку мира, туда, где для них созданы условия. И речь идет не о деньгах, а об экологии, городском планировании. Это тоже надо учитывать в стратегии. Ряд регионов уже пошел по этому пути. Москва, Татарстан, Калининград пытаются создать комфортную среду для жизни, чтобы удержать специалистов».</w:t>
      </w:r>
    </w:p>
    <w:p w:rsidR="00814A8B" w:rsidRPr="00AD6BCB" w:rsidRDefault="00814A8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b/>
          <w:color w:val="333333"/>
          <w:sz w:val="20"/>
          <w:szCs w:val="20"/>
          <w:lang w:eastAsia="ru-RU"/>
        </w:rPr>
      </w:pPr>
      <w:r w:rsidRPr="00315514">
        <w:rPr>
          <w:rFonts w:ascii="Droid Sans" w:eastAsia="Times New Roman" w:hAnsi="Droid Sans"/>
          <w:b/>
          <w:color w:val="333333"/>
          <w:sz w:val="20"/>
          <w:szCs w:val="20"/>
          <w:lang w:eastAsia="ru-RU"/>
        </w:rPr>
        <w:t>http://74.opora.ru</w:t>
      </w:r>
      <w:bookmarkStart w:id="0" w:name="_GoBack"/>
      <w:bookmarkEnd w:id="0"/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14F9A657" wp14:editId="486F065C">
            <wp:extent cx="6343650" cy="4229100"/>
            <wp:effectExtent l="0" t="0" r="0" b="0"/>
            <wp:docPr id="4" name="Рисунок 4" descr="https://img.znak.com/1399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mg.znak.com/13992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Есть в регионе проекты, которые нуждаются в пристальном внимании властей или крупного бизнеса, без координации которых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пазл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не сложится.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«У нас был неудачный опыт в конце 90-х, когда мы сделали отечественный томограф, — рассказывает главный онколог Челябинской области Андрей Важенин. — Но из-за нескоординированных действий властей, мы остановились на третьем экземпляре. Проект был достаточно интересный, томограф мог бы занять место в нише аппаратов для городских и районных клиник. Но не вышло. Зато мы получили опыт и сейчас реализуем ряд других проектов. Например, готовим к выходу на рынок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радионуклидные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препараты, которые необходимы для работы ПЭТ-центров. Они будут производиться в </w:t>
      </w:r>
      <w:proofErr w:type="spellStart"/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Снежинске</w:t>
      </w:r>
      <w:proofErr w:type="spellEnd"/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и поставляться в Челябинск и Екатеринбург».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33FCCD99" wp14:editId="04682C58">
            <wp:extent cx="6343650" cy="4229100"/>
            <wp:effectExtent l="0" t="0" r="0" b="0"/>
            <wp:docPr id="5" name="Рисунок 5" descr="Андрей Важ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ндрей Важени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Андрей Важенин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По словам Андрея Важенина, у Челябинской области есть возможность занять рынок оборудования для лучевой терапии.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«В народе известна такая вещь, как гамма-пушка, в России есть порядка 400 аппаратов. Все они импортные. Рынок заняли чехи и канадцы. Аппараты полностью зависимы от производителя. Раз в пять лет мы занимаемся кобальтовым туризмом: снимаем головку и везем ее на зарядку в Канаду или Чехию. При этом чешские аппараты работают на кобальте, который сделан на „Маяке“. Сейчас рождается отечественный проект. „Маяк“ готов производить вольфрамовую головку,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ЮУрГУ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берется за разработку, „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Златмаш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“ делает механические элементы. Все это реально, но необходимо участие области или бизнеса. Через полтора года мы можем получить готовый прибор и вернуть себе как минимум российский рынок, — уверен Андрей Важенин. — Есть и более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амбициозный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проект создания установки для нейтронозахватной терапии. Над ней работают в Новосибирске, а нас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готовы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взять в кооперацию. Но для того, чтобы получить аппарат, нужны вменяемые вложения. Нужно потратить порядка 5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млн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долларов. Насколько я знаю, на команду „Трактор“ тратят больше».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При этом</w:t>
      </w:r>
      <w:proofErr w:type="gramStart"/>
      <w:r w:rsidRPr="00AD6BCB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>,</w:t>
      </w:r>
      <w:proofErr w:type="gramEnd"/>
      <w:r w:rsidRPr="00AD6BCB">
        <w:rPr>
          <w:rFonts w:ascii="Droid Sans" w:eastAsia="Times New Roman" w:hAnsi="Droid Sans"/>
          <w:b/>
          <w:bCs/>
          <w:color w:val="333333"/>
          <w:sz w:val="20"/>
          <w:szCs w:val="20"/>
          <w:lang w:eastAsia="ru-RU"/>
        </w:rPr>
        <w:t xml:space="preserve"> по словам Андрея Важенина у проектов пока нет инвесторов.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Есть в регионе и долгосрочные прогнозы, какой может стать экономика области к 2035 году. Челябинская область к этому времени может стать центром компетенций по бухгалтерскому обслуживанию.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7CBBE965" wp14:editId="4FF5C2F3">
            <wp:extent cx="6343650" cy="4229100"/>
            <wp:effectExtent l="0" t="0" r="0" b="0"/>
            <wp:docPr id="6" name="Рисунок 6" descr="Алексей Овакимян (слев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Алексей Овакимян (слева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Алексей Овакимян (слева)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«Мы анализируем положение дел в этой сфере у нас и в США, —  говорит управляющий партнер группы компаний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Авуар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» Алексей Овакимян. — В России 3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млн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бухгалтеров, в США — при значительно большем населении — всего 1 млн. При этом 92% бухгалтерских услуг в Америке оказывается на аутсорсинге. К этому же движемся и мы. В перспективе 2,5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млн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бухгалтеров потеряют свою работу из-за автоматизации, так как все, что делает бухгалтер, эффективнее и дешевле делает компьютер. Это же касается отдела кадров, секретарей и юристов, которые занимаются типовыми задачами. По нашим оценкам, на рынке останется 400 тыс. бухгалтеров. И Челябинская область может побороться за эти рабочие места, так как у нас интересная ситуация — у нас самые низкие зарплаты, при этом мы попадаем в топ-10 регионов по интеллектуальному уровню. Мы умные, но дешевые. А если считать стоимость бухгалтерских услуг в России — это 2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трлн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рублей, что сопоставимо с объемом денег в металлургии. Неправильно игнорировать такой рынок. Пока Москва и Санкт-Петербург не хотят в это лезть, надо брать эту сферу себе. Это достаточно </w:t>
      </w:r>
      <w:proofErr w:type="gram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амбициозная</w:t>
      </w:r>
      <w:proofErr w:type="gram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задача, и ее нужно решать именно в рамках стратегии. Хотя шаги уже сделаны. Например, создается центр компетенций бухгалтерских услуг на базе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ЮУрГУ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».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7C7DC794" wp14:editId="005E6D82">
            <wp:extent cx="6343650" cy="4229100"/>
            <wp:effectExtent l="0" t="0" r="0" b="0"/>
            <wp:docPr id="7" name="Рисунок 7" descr="https://img.znak.com/1399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.znak.com/13992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При этом в регионе уже создана типовая модель, по которой Челябинская область может получить рабочие места в данной сфере.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Авуар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» разработал IT-решение «Гениальный штаб», которое позволяет заменить бухгалтера приложением в мобильном телефоне.</w:t>
      </w:r>
    </w:p>
    <w:p w:rsidR="00AD6BCB" w:rsidRPr="00AD6BCB" w:rsidRDefault="00AD6BCB" w:rsidP="00AD6BCB">
      <w:pPr>
        <w:shd w:val="clear" w:color="auto" w:fill="FFFFFF"/>
        <w:ind w:firstLine="0"/>
        <w:jc w:val="left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 wp14:anchorId="025377D0" wp14:editId="572808E1">
            <wp:extent cx="6343650" cy="4229100"/>
            <wp:effectExtent l="0" t="0" r="0" b="0"/>
            <wp:docPr id="8" name="Рисунок 8" descr="Станислав Твердохлеб (в центр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танислав Твердохлеб (в центре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Станислав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Твердохлеб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 (в центре)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«За годы работы в этой сфере я заметил тенденцию —  власти, потенциальные инвесторы не всегда знают, что происходит на местах, что там есть инновации, проекты, которые могут быть передовыми в масштабе планеты, но они не получают поддержки, — говорит руководитель инновационной площадки «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ПроПуск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 xml:space="preserve">» Станислав </w:t>
      </w:r>
      <w:proofErr w:type="spellStart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Твердохлеб</w:t>
      </w:r>
      <w:proofErr w:type="spellEnd"/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. — А бизнес, в свою очередь, пашет в своих рудниках, находит уникальные решения, но никому об этом не рассказывает, потому что занят текущими задачами. Обоим сторонам процесса нужно быть внимательнее друг к другу».</w:t>
      </w:r>
    </w:p>
    <w:p w:rsidR="00AD6BCB" w:rsidRPr="00AD6BCB" w:rsidRDefault="00AD6BCB" w:rsidP="00AD6BCB">
      <w:pPr>
        <w:shd w:val="clear" w:color="auto" w:fill="FFFFFF"/>
        <w:spacing w:before="100" w:beforeAutospacing="1" w:after="100" w:afterAutospacing="1"/>
        <w:ind w:firstLine="0"/>
        <w:rPr>
          <w:rFonts w:ascii="Droid Sans" w:eastAsia="Times New Roman" w:hAnsi="Droid Sans"/>
          <w:color w:val="333333"/>
          <w:sz w:val="20"/>
          <w:szCs w:val="20"/>
          <w:lang w:eastAsia="ru-RU"/>
        </w:rPr>
      </w:pPr>
      <w:r w:rsidRPr="00AD6BCB">
        <w:rPr>
          <w:rFonts w:ascii="Droid Sans" w:eastAsia="Times New Roman" w:hAnsi="Droid Sans"/>
          <w:color w:val="333333"/>
          <w:sz w:val="20"/>
          <w:szCs w:val="20"/>
          <w:lang w:eastAsia="ru-RU"/>
        </w:rPr>
        <w:t>Источник: </w:t>
      </w:r>
      <w:hyperlink r:id="rId13" w:tgtFrame="_blank" w:history="1">
        <w:r w:rsidRPr="00AD6BCB">
          <w:rPr>
            <w:rFonts w:ascii="Droid Sans" w:eastAsia="Times New Roman" w:hAnsi="Droid Sans"/>
            <w:color w:val="444444"/>
            <w:sz w:val="20"/>
            <w:szCs w:val="20"/>
            <w:lang w:eastAsia="ru-RU"/>
          </w:rPr>
          <w:t>https://www.znak.com/2017-04-13/v_chelyabinske_obsudili_podhod_k_innovaciyam_i_strategiyu_2035</w:t>
        </w:r>
      </w:hyperlink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CB"/>
    <w:rsid w:val="00315514"/>
    <w:rsid w:val="00626DEC"/>
    <w:rsid w:val="00772839"/>
    <w:rsid w:val="00814A8B"/>
    <w:rsid w:val="00A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B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633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8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70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9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4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znak.com/2017-04-13/v_chelyabinske_obsudili_podhod_k_innovaciyam_i_strategiyu_20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1392</Words>
  <Characters>7938</Characters>
  <Application>Microsoft Office Word</Application>
  <DocSecurity>0</DocSecurity>
  <Lines>66</Lines>
  <Paragraphs>18</Paragraphs>
  <ScaleCrop>false</ScaleCrop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2017-06-20T10:56:00Z</dcterms:created>
  <dcterms:modified xsi:type="dcterms:W3CDTF">2017-06-20T10:58:00Z</dcterms:modified>
</cp:coreProperties>
</file>