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6F" w:rsidRPr="00DB2276" w:rsidRDefault="00397D6F" w:rsidP="00397D6F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   </w:t>
      </w:r>
      <w:r w:rsidRPr="00DB2276">
        <w:rPr>
          <w:rStyle w:val="FontStyle17"/>
          <w:szCs w:val="22"/>
        </w:rPr>
        <w:t>УТВЕРЖДЕН</w:t>
      </w:r>
    </w:p>
    <w:p w:rsidR="00397D6F" w:rsidRPr="00DB2276" w:rsidRDefault="00397D6F" w:rsidP="00397D6F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распоряжением  председателя </w:t>
      </w:r>
    </w:p>
    <w:p w:rsidR="00397D6F" w:rsidRPr="00DB2276" w:rsidRDefault="00397D6F" w:rsidP="00397D6F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>Контрольно-ревизионной комиссии</w:t>
      </w:r>
    </w:p>
    <w:p w:rsidR="00397D6F" w:rsidRDefault="00397D6F" w:rsidP="00397D6F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от </w:t>
      </w:r>
      <w:r>
        <w:rPr>
          <w:rStyle w:val="FontStyle17"/>
          <w:szCs w:val="22"/>
        </w:rPr>
        <w:t>14</w:t>
      </w:r>
      <w:r w:rsidRPr="00DB2276">
        <w:rPr>
          <w:rStyle w:val="FontStyle17"/>
          <w:szCs w:val="22"/>
        </w:rPr>
        <w:t xml:space="preserve"> декабря 20</w:t>
      </w:r>
      <w:r>
        <w:rPr>
          <w:rStyle w:val="FontStyle17"/>
          <w:szCs w:val="22"/>
        </w:rPr>
        <w:t>20</w:t>
      </w:r>
      <w:r w:rsidRPr="00DB2276">
        <w:rPr>
          <w:rStyle w:val="FontStyle17"/>
          <w:szCs w:val="22"/>
        </w:rPr>
        <w:t xml:space="preserve"> года  №</w:t>
      </w:r>
      <w:r>
        <w:rPr>
          <w:rStyle w:val="FontStyle17"/>
          <w:szCs w:val="22"/>
        </w:rPr>
        <w:t>1</w:t>
      </w:r>
      <w:r w:rsidRPr="00DB2276">
        <w:rPr>
          <w:rStyle w:val="FontStyle17"/>
          <w:szCs w:val="22"/>
        </w:rPr>
        <w:t>1</w:t>
      </w:r>
      <w:r>
        <w:rPr>
          <w:rStyle w:val="FontStyle17"/>
          <w:szCs w:val="22"/>
        </w:rPr>
        <w:t>,</w:t>
      </w:r>
    </w:p>
    <w:p w:rsidR="00397D6F" w:rsidRDefault="00397D6F" w:rsidP="00397D6F">
      <w:pPr>
        <w:pStyle w:val="Style2"/>
        <w:widowControl/>
        <w:ind w:left="500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от 20 февраля 2021 года № 5,</w:t>
      </w:r>
    </w:p>
    <w:p w:rsidR="00397D6F" w:rsidRDefault="00397D6F" w:rsidP="00397D6F">
      <w:pPr>
        <w:pStyle w:val="Style2"/>
        <w:widowControl/>
        <w:ind w:left="500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от 13 декабря 2021 г. № 15,</w:t>
      </w:r>
    </w:p>
    <w:p w:rsidR="00397D6F" w:rsidRPr="00DB2276" w:rsidRDefault="00397D6F" w:rsidP="00397D6F">
      <w:pPr>
        <w:pStyle w:val="Style2"/>
        <w:widowControl/>
        <w:ind w:left="500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>от 29 декабря 2021г. № 18</w:t>
      </w:r>
    </w:p>
    <w:p w:rsidR="00397D6F" w:rsidRDefault="00397D6F" w:rsidP="00397D6F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397D6F" w:rsidRDefault="00397D6F" w:rsidP="00397D6F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397D6F" w:rsidRPr="00DB2276" w:rsidRDefault="00397D6F" w:rsidP="00397D6F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397D6F" w:rsidRPr="00DB2276" w:rsidRDefault="00397D6F" w:rsidP="00397D6F">
      <w:pPr>
        <w:jc w:val="center"/>
        <w:rPr>
          <w:rStyle w:val="FontStyle12"/>
          <w:sz w:val="28"/>
          <w:szCs w:val="28"/>
        </w:rPr>
      </w:pPr>
      <w:r w:rsidRPr="00DB2276">
        <w:rPr>
          <w:rStyle w:val="FontStyle12"/>
          <w:sz w:val="28"/>
          <w:szCs w:val="28"/>
        </w:rPr>
        <w:t xml:space="preserve">План работы Контрольно-ревизионной комиссии </w:t>
      </w:r>
      <w:proofErr w:type="spellStart"/>
      <w:r w:rsidRPr="00DB2276">
        <w:rPr>
          <w:rStyle w:val="FontStyle12"/>
          <w:sz w:val="28"/>
          <w:szCs w:val="28"/>
        </w:rPr>
        <w:t>Кунашакского</w:t>
      </w:r>
      <w:proofErr w:type="spellEnd"/>
      <w:r w:rsidRPr="00DB2276">
        <w:rPr>
          <w:rStyle w:val="FontStyle12"/>
          <w:sz w:val="28"/>
          <w:szCs w:val="28"/>
        </w:rPr>
        <w:t xml:space="preserve"> муниципального района на 202</w:t>
      </w:r>
      <w:r>
        <w:rPr>
          <w:rStyle w:val="FontStyle12"/>
          <w:sz w:val="28"/>
          <w:szCs w:val="28"/>
        </w:rPr>
        <w:t>1</w:t>
      </w:r>
      <w:r w:rsidRPr="00DB2276">
        <w:rPr>
          <w:rStyle w:val="FontStyle12"/>
          <w:sz w:val="28"/>
          <w:szCs w:val="28"/>
        </w:rPr>
        <w:t xml:space="preserve"> год</w:t>
      </w:r>
    </w:p>
    <w:p w:rsidR="00397D6F" w:rsidRDefault="00397D6F" w:rsidP="00397D6F">
      <w:pPr>
        <w:jc w:val="center"/>
        <w:rPr>
          <w:rStyle w:val="FontStyle12"/>
          <w:sz w:val="28"/>
          <w:szCs w:val="28"/>
        </w:rPr>
      </w:pPr>
    </w:p>
    <w:p w:rsidR="00397D6F" w:rsidRPr="00DB2276" w:rsidRDefault="00397D6F" w:rsidP="00397D6F">
      <w:pPr>
        <w:jc w:val="center"/>
        <w:rPr>
          <w:rStyle w:val="FontStyle12"/>
          <w:sz w:val="28"/>
          <w:szCs w:val="28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4111"/>
      </w:tblGrid>
      <w:tr w:rsidR="00397D6F" w:rsidRPr="00DB2276" w:rsidTr="00C1336B">
        <w:trPr>
          <w:trHeight w:val="336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I. Контрольные мероприятия</w:t>
            </w:r>
          </w:p>
        </w:tc>
      </w:tr>
      <w:tr w:rsidR="00397D6F" w:rsidRPr="00DB2276" w:rsidTr="00C1336B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6F" w:rsidRPr="00DB2276" w:rsidRDefault="00397D6F" w:rsidP="00C1336B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397D6F" w:rsidRPr="00DB2276" w:rsidRDefault="00397D6F" w:rsidP="00397D6F">
      <w:pPr>
        <w:jc w:val="center"/>
        <w:rPr>
          <w:sz w:val="6"/>
          <w:szCs w:val="6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4111"/>
      </w:tblGrid>
      <w:tr w:rsidR="00397D6F" w:rsidRPr="00DB2276" w:rsidTr="00C1336B">
        <w:trPr>
          <w:trHeight w:val="10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DB227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Проверка исполнения представлений и предписаний Контрольно-ревизионной комиссии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397D6F" w:rsidRPr="00DB2276" w:rsidTr="00C1336B">
        <w:trPr>
          <w:trHeight w:hRule="exact" w:val="13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(эффективности и экономности) использования  сре</w:t>
            </w:r>
            <w:proofErr w:type="gramStart"/>
            <w:r w:rsidRPr="00DB2276">
              <w:rPr>
                <w:sz w:val="28"/>
                <w:szCs w:val="28"/>
              </w:rPr>
              <w:t>дств пр</w:t>
            </w:r>
            <w:proofErr w:type="gramEnd"/>
            <w:r w:rsidRPr="00DB2276">
              <w:rPr>
                <w:sz w:val="28"/>
                <w:szCs w:val="28"/>
              </w:rPr>
              <w:t>и  исполнении бюджета.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B2276">
              <w:rPr>
                <w:sz w:val="28"/>
                <w:szCs w:val="28"/>
              </w:rPr>
              <w:t xml:space="preserve"> </w:t>
            </w:r>
          </w:p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сельское поселение</w:t>
            </w:r>
          </w:p>
        </w:tc>
      </w:tr>
      <w:tr w:rsidR="00397D6F" w:rsidRPr="00DB2276" w:rsidTr="00C1336B">
        <w:trPr>
          <w:trHeight w:hRule="exact" w:val="2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Проверка использования средств районного бюджета, выделенных на содержание учреждений и на реализацию муниципальной программы «Развитие социальной защиты </w:t>
            </w:r>
            <w:r>
              <w:rPr>
                <w:sz w:val="28"/>
                <w:szCs w:val="28"/>
              </w:rPr>
              <w:t xml:space="preserve">  населения 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 на 2020- 2022 годы»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Управление социальной защиты населения администрации района (подведомственные учреждения)</w:t>
            </w:r>
          </w:p>
        </w:tc>
      </w:tr>
      <w:tr w:rsidR="00397D6F" w:rsidRPr="00DB2276" w:rsidTr="00C1336B">
        <w:trPr>
          <w:trHeight w:hRule="exact" w:val="1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соблюдения  законности и результативности (эффективности  экономности) использования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и исполнении бюджета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Буринское</w:t>
            </w:r>
            <w:proofErr w:type="spellEnd"/>
          </w:p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сельское  поселение</w:t>
            </w:r>
          </w:p>
        </w:tc>
      </w:tr>
      <w:tr w:rsidR="00397D6F" w:rsidRPr="00DB2276" w:rsidTr="00C1336B">
        <w:trPr>
          <w:trHeight w:hRule="exact" w:val="11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</w:p>
        </w:tc>
      </w:tr>
      <w:tr w:rsidR="00397D6F" w:rsidRPr="00DB2276" w:rsidTr="00C1336B">
        <w:trPr>
          <w:trHeight w:hRule="exact" w:val="1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r>
              <w:rPr>
                <w:rStyle w:val="FontStyle12"/>
                <w:sz w:val="28"/>
                <w:szCs w:val="28"/>
              </w:rPr>
              <w:t xml:space="preserve">Проверка использования средств районного бюджета и имущества, находящегося в муниципальной собственности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397D6F" w:rsidRPr="00DB2276" w:rsidTr="00C1336B">
        <w:trPr>
          <w:trHeight w:hRule="exact" w:val="21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Проверка использования средств районного бюджета и имущества, находящегося в муниципальной собственности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397D6F" w:rsidRPr="00DB2276" w:rsidTr="00C1336B">
        <w:trPr>
          <w:trHeight w:hRule="exact" w:val="10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Исключен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397D6F" w:rsidRPr="00DB2276" w:rsidTr="00C1336B">
        <w:trPr>
          <w:trHeight w:hRule="exact" w:val="1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Default="00397D6F" w:rsidP="00C13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</w:p>
        </w:tc>
      </w:tr>
      <w:tr w:rsidR="00397D6F" w:rsidRPr="00DB2276" w:rsidTr="00C1336B">
        <w:trPr>
          <w:trHeight w:hRule="exact" w:val="1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бюджетов поселений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9 администраций сельских поселений</w:t>
            </w:r>
          </w:p>
        </w:tc>
      </w:tr>
      <w:tr w:rsidR="00397D6F" w:rsidRPr="00DB2276" w:rsidTr="00C1336B">
        <w:trPr>
          <w:trHeight w:hRule="exact" w:val="8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Default="00397D6F" w:rsidP="00C13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Default="00397D6F" w:rsidP="00C1336B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Исключен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</w:p>
        </w:tc>
      </w:tr>
      <w:tr w:rsidR="00397D6F" w:rsidRPr="00DB2276" w:rsidTr="00C1336B">
        <w:trPr>
          <w:trHeight w:hRule="exact" w:val="2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Default="00397D6F" w:rsidP="00C13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Default="00397D6F" w:rsidP="00C1336B">
            <w:pPr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 Управления образования в части эффективного использования денежных средств, выделенных из областного и местного бюджетов на оплату труда и расходы по коммунальным услугам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Default="00397D6F" w:rsidP="00C1336B">
            <w:pPr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Подведомственные учреждения Управления образования администрации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397D6F" w:rsidRPr="00DB2276" w:rsidTr="00C1336B">
        <w:trPr>
          <w:trHeight w:val="374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6F" w:rsidRDefault="00397D6F" w:rsidP="00C1336B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397D6F" w:rsidRDefault="00397D6F" w:rsidP="00C1336B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397D6F" w:rsidRPr="00DB2276" w:rsidRDefault="00397D6F" w:rsidP="00C1336B">
            <w:pPr>
              <w:jc w:val="center"/>
              <w:rPr>
                <w:rStyle w:val="FontStyle11"/>
                <w:sz w:val="28"/>
                <w:szCs w:val="28"/>
              </w:rPr>
            </w:pPr>
            <w:r w:rsidRPr="00DB2276">
              <w:rPr>
                <w:rStyle w:val="FontStyle11"/>
                <w:sz w:val="28"/>
                <w:szCs w:val="28"/>
              </w:rPr>
              <w:t>2. Экспертно-аналитические мероприятия</w:t>
            </w:r>
          </w:p>
        </w:tc>
      </w:tr>
      <w:tr w:rsidR="00397D6F" w:rsidRPr="00DB2276" w:rsidTr="00C1336B">
        <w:trPr>
          <w:trHeight w:hRule="exact"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397D6F" w:rsidRPr="00DB2276" w:rsidTr="00C1336B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397D6F" w:rsidRPr="00DB2276" w:rsidTr="00C1336B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397D6F" w:rsidRPr="00DB2276" w:rsidTr="00C1336B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 xml:space="preserve">20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397D6F" w:rsidRPr="00DB2276" w:rsidTr="00C1336B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397D6F" w:rsidRPr="00DB2276" w:rsidTr="00C1336B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2.5.1.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 xml:space="preserve">20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 поселения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муниципального района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7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7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2.19.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397D6F" w:rsidRPr="00DB2276" w:rsidTr="00C1336B">
        <w:trPr>
          <w:trHeight w:hRule="exact"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397D6F" w:rsidRPr="00DB2276" w:rsidTr="00C1336B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2.22.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Анализ исполнения доходной и расходной части районного бюджета за 1 квартал 202</w:t>
            </w:r>
            <w:r>
              <w:rPr>
                <w:rStyle w:val="FontStyle13"/>
                <w:bCs/>
                <w:sz w:val="28"/>
                <w:szCs w:val="28"/>
              </w:rPr>
              <w:t>1</w:t>
            </w:r>
            <w:r w:rsidRPr="00DB2276">
              <w:rPr>
                <w:rStyle w:val="FontStyle13"/>
                <w:bCs/>
                <w:sz w:val="28"/>
                <w:szCs w:val="28"/>
              </w:rPr>
              <w:t xml:space="preserve"> года</w:t>
            </w:r>
          </w:p>
        </w:tc>
      </w:tr>
      <w:tr w:rsidR="00397D6F" w:rsidRPr="00DB2276" w:rsidTr="00C1336B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2.23.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</w:t>
            </w:r>
            <w:r>
              <w:rPr>
                <w:rStyle w:val="FontStyle13"/>
                <w:bCs/>
                <w:sz w:val="28"/>
                <w:szCs w:val="28"/>
              </w:rPr>
              <w:t>1</w:t>
            </w:r>
            <w:r w:rsidRPr="00DB2276">
              <w:rPr>
                <w:rStyle w:val="FontStyle13"/>
                <w:bCs/>
                <w:sz w:val="28"/>
                <w:szCs w:val="28"/>
              </w:rPr>
              <w:t xml:space="preserve"> года</w:t>
            </w:r>
          </w:p>
        </w:tc>
      </w:tr>
      <w:tr w:rsidR="00397D6F" w:rsidRPr="00DB2276" w:rsidTr="00C1336B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2.24.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</w:t>
            </w:r>
            <w:r>
              <w:rPr>
                <w:rStyle w:val="FontStyle13"/>
                <w:bCs/>
                <w:sz w:val="28"/>
                <w:szCs w:val="28"/>
              </w:rPr>
              <w:t>1</w:t>
            </w:r>
            <w:r w:rsidRPr="00DB2276">
              <w:rPr>
                <w:rStyle w:val="FontStyle13"/>
                <w:bCs/>
                <w:sz w:val="28"/>
                <w:szCs w:val="28"/>
              </w:rPr>
              <w:t xml:space="preserve"> года</w:t>
            </w:r>
          </w:p>
        </w:tc>
      </w:tr>
      <w:tr w:rsidR="00397D6F" w:rsidRPr="00DB2276" w:rsidTr="00C1336B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2.25.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Исключен</w:t>
            </w:r>
          </w:p>
        </w:tc>
      </w:tr>
      <w:tr w:rsidR="00397D6F" w:rsidRPr="00DB2276" w:rsidTr="00C1336B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2.26.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Исключен</w:t>
            </w:r>
          </w:p>
        </w:tc>
      </w:tr>
      <w:tr w:rsidR="00397D6F" w:rsidRPr="00DB2276" w:rsidTr="00C1336B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2.27.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Исключен</w:t>
            </w:r>
          </w:p>
        </w:tc>
      </w:tr>
      <w:tr w:rsidR="00397D6F" w:rsidRPr="00DB2276" w:rsidTr="00C1336B">
        <w:trPr>
          <w:trHeight w:hRule="exact" w:val="1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2.28.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Анализ результативности мер, принимаемых  региональными органами исполнительной власти и органами местного самоуправления Челябинской области, направленных на сокращение объемов и количества объектов незавершенного строительства в 2019-2020 годах и за истекший период 2021 года (совместно с Контрольно-счетной палатой Челябинской области)</w:t>
            </w:r>
          </w:p>
        </w:tc>
      </w:tr>
      <w:tr w:rsidR="00397D6F" w:rsidRPr="00DB2276" w:rsidTr="00C1336B">
        <w:trPr>
          <w:trHeight w:val="402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Default="00397D6F" w:rsidP="00C1336B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397D6F" w:rsidRDefault="00397D6F" w:rsidP="00C1336B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397D6F" w:rsidRPr="00DB2276" w:rsidRDefault="00397D6F" w:rsidP="00C1336B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397D6F" w:rsidRPr="00DB2276" w:rsidTr="00C1336B">
        <w:trPr>
          <w:trHeight w:hRule="exact"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397D6F" w:rsidRPr="00DB2276" w:rsidTr="00C1336B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 xml:space="preserve">Представление отчетов Главе </w:t>
            </w:r>
            <w:proofErr w:type="spellStart"/>
            <w:r w:rsidRPr="00DB2276">
              <w:rPr>
                <w:rStyle w:val="FontStyle13"/>
                <w:bCs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3"/>
                <w:bCs/>
                <w:sz w:val="28"/>
                <w:szCs w:val="28"/>
              </w:rPr>
              <w:t xml:space="preserve"> муниципального района, Собранию депутатов </w:t>
            </w:r>
            <w:proofErr w:type="spellStart"/>
            <w:r w:rsidRPr="00DB2276">
              <w:rPr>
                <w:rStyle w:val="FontStyle13"/>
                <w:bCs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3"/>
                <w:bCs/>
                <w:sz w:val="28"/>
                <w:szCs w:val="28"/>
              </w:rPr>
              <w:t xml:space="preserve">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397D6F" w:rsidRPr="00DB2276" w:rsidTr="00C1336B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397D6F" w:rsidRPr="00DB2276" w:rsidTr="00C1336B">
        <w:trPr>
          <w:trHeight w:hRule="exact" w:val="10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397D6F" w:rsidRPr="00DB2276" w:rsidTr="00C1336B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 xml:space="preserve">Представление информации Советам депутатов поселений </w:t>
            </w:r>
            <w:proofErr w:type="spellStart"/>
            <w:r w:rsidRPr="00DB2276">
              <w:rPr>
                <w:rStyle w:val="FontStyle13"/>
                <w:bCs/>
                <w:sz w:val="28"/>
                <w:szCs w:val="28"/>
              </w:rPr>
              <w:t>Кунашакского</w:t>
            </w:r>
            <w:proofErr w:type="spellEnd"/>
          </w:p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 xml:space="preserve">муниципального района и главам поселений </w:t>
            </w:r>
            <w:proofErr w:type="spellStart"/>
            <w:r w:rsidRPr="00DB2276">
              <w:rPr>
                <w:rStyle w:val="FontStyle13"/>
                <w:bCs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3"/>
                <w:bCs/>
                <w:sz w:val="28"/>
                <w:szCs w:val="28"/>
              </w:rPr>
              <w:t xml:space="preserve">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397D6F" w:rsidRPr="00DB2276" w:rsidTr="00C1336B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lastRenderedPageBreak/>
              <w:t>3.5.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Составление  отчета о  работе  Контрольно-ревизионной  комиссии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муниципального района за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397D6F" w:rsidRPr="00DB2276" w:rsidTr="00C1336B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 xml:space="preserve">Представление Собранию депутатов </w:t>
            </w:r>
            <w:proofErr w:type="spellStart"/>
            <w:r w:rsidRPr="00DB2276">
              <w:rPr>
                <w:rStyle w:val="FontStyle13"/>
                <w:bCs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3"/>
                <w:bCs/>
                <w:sz w:val="28"/>
                <w:szCs w:val="28"/>
              </w:rPr>
              <w:t xml:space="preserve"> муниципального района отчета о работе Контрольно-ревизионной комиссии за 20</w:t>
            </w:r>
            <w:r>
              <w:rPr>
                <w:rStyle w:val="FontStyle13"/>
                <w:bCs/>
                <w:sz w:val="28"/>
                <w:szCs w:val="28"/>
              </w:rPr>
              <w:t>20</w:t>
            </w:r>
            <w:r w:rsidRPr="00DB2276">
              <w:rPr>
                <w:rStyle w:val="FontStyle13"/>
                <w:bCs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397D6F" w:rsidRPr="00DB2276" w:rsidTr="00C1336B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397D6F" w:rsidRPr="00DB2276" w:rsidTr="00C1336B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 xml:space="preserve">Участие в работе комиссий и заседаний при Главе </w:t>
            </w:r>
            <w:proofErr w:type="spellStart"/>
            <w:r w:rsidRPr="00DB2276">
              <w:rPr>
                <w:rStyle w:val="FontStyle13"/>
                <w:bCs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3"/>
                <w:bCs/>
                <w:sz w:val="28"/>
                <w:szCs w:val="28"/>
              </w:rPr>
              <w:t xml:space="preserve"> муниципального района, Собрании депутатов </w:t>
            </w:r>
            <w:proofErr w:type="spellStart"/>
            <w:r w:rsidRPr="00DB2276">
              <w:rPr>
                <w:rStyle w:val="FontStyle13"/>
                <w:bCs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3"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397D6F" w:rsidRPr="00DB2276" w:rsidTr="00C1336B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397D6F" w:rsidRPr="00DB2276" w:rsidTr="00C1336B">
        <w:trPr>
          <w:trHeight w:hRule="exact"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3.10.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397D6F" w:rsidRPr="00DB2276" w:rsidTr="00C1336B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3.11.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397D6F" w:rsidRPr="00DB2276" w:rsidTr="00C1336B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3.12.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6F" w:rsidRPr="00DB2276" w:rsidRDefault="00397D6F" w:rsidP="00C1336B">
            <w:pPr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397D6F" w:rsidRDefault="00397D6F" w:rsidP="00397D6F">
      <w:pPr>
        <w:rPr>
          <w:sz w:val="28"/>
          <w:szCs w:val="28"/>
        </w:rPr>
      </w:pPr>
    </w:p>
    <w:p w:rsidR="00397D6F" w:rsidRDefault="00397D6F" w:rsidP="00397D6F">
      <w:pPr>
        <w:rPr>
          <w:sz w:val="28"/>
          <w:szCs w:val="28"/>
        </w:rPr>
      </w:pPr>
      <w:r>
        <w:rPr>
          <w:sz w:val="28"/>
          <w:szCs w:val="28"/>
        </w:rPr>
        <w:t>Председатель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ревизионной</w:t>
      </w:r>
    </w:p>
    <w:p w:rsidR="00397D6F" w:rsidRDefault="00397D6F" w:rsidP="00397D6F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В.Р. Юсупова                                                                            </w:t>
      </w:r>
    </w:p>
    <w:p w:rsidR="00397D6F" w:rsidRDefault="00397D6F" w:rsidP="00397D6F">
      <w:pPr>
        <w:rPr>
          <w:sz w:val="28"/>
          <w:szCs w:val="28"/>
        </w:rPr>
      </w:pPr>
    </w:p>
    <w:p w:rsidR="00397D6F" w:rsidRDefault="00397D6F" w:rsidP="00397D6F">
      <w:pPr>
        <w:rPr>
          <w:sz w:val="28"/>
          <w:szCs w:val="28"/>
        </w:rPr>
      </w:pPr>
    </w:p>
    <w:p w:rsidR="00397D6F" w:rsidRDefault="00397D6F" w:rsidP="00397D6F">
      <w:pPr>
        <w:rPr>
          <w:sz w:val="28"/>
          <w:szCs w:val="28"/>
        </w:rPr>
      </w:pPr>
    </w:p>
    <w:p w:rsidR="00397D6F" w:rsidRDefault="00397D6F" w:rsidP="00397D6F">
      <w:pPr>
        <w:rPr>
          <w:sz w:val="28"/>
          <w:szCs w:val="28"/>
        </w:rPr>
      </w:pPr>
    </w:p>
    <w:p w:rsidR="00397D6F" w:rsidRDefault="00397D6F" w:rsidP="00397D6F">
      <w:pPr>
        <w:rPr>
          <w:sz w:val="28"/>
          <w:szCs w:val="28"/>
        </w:rPr>
      </w:pPr>
    </w:p>
    <w:p w:rsidR="00415F81" w:rsidRDefault="00415F81"/>
    <w:sectPr w:rsidR="0041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6F"/>
    <w:rsid w:val="00397D6F"/>
    <w:rsid w:val="004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97D6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397D6F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397D6F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397D6F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397D6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97D6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397D6F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397D6F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397D6F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397D6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1</cp:revision>
  <dcterms:created xsi:type="dcterms:W3CDTF">2022-01-10T10:28:00Z</dcterms:created>
  <dcterms:modified xsi:type="dcterms:W3CDTF">2022-01-10T10:29:00Z</dcterms:modified>
</cp:coreProperties>
</file>