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21" w:rsidRPr="00D56821" w:rsidRDefault="00D56821" w:rsidP="00D56821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D56821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ЧТО НУЖНО ЗНАТЬ ОБ ОХРАНЕ ТРУДА? ПОДРОБНОСТИ НА БЕСПЛАТНОМ СЕМИНАРЕ!</w:t>
      </w:r>
    </w:p>
    <w:p w:rsidR="00D56821" w:rsidRPr="00D56821" w:rsidRDefault="00D56821" w:rsidP="00D5682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tbl>
      <w:tblPr>
        <w:tblW w:w="12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2"/>
      </w:tblGrid>
      <w:tr w:rsidR="00D56821" w:rsidRPr="00D56821" w:rsidTr="004F3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D56821" w:rsidRPr="00D56821" w:rsidRDefault="00D56821" w:rsidP="00D56821">
            <w:pPr>
              <w:ind w:firstLine="0"/>
              <w:jc w:val="left"/>
              <w:textAlignment w:val="baseline"/>
              <w:rPr>
                <w:rFonts w:eastAsia="Times New Roman"/>
                <w:color w:val="777777"/>
                <w:sz w:val="24"/>
                <w:szCs w:val="24"/>
                <w:lang w:eastAsia="ru-RU"/>
              </w:rPr>
            </w:pP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4 апреля в "Территории Бизнеса" пройдет </w:t>
            </w:r>
            <w:r w:rsidRPr="00D56821">
              <w:rPr>
                <w:rFonts w:eastAsia="Times New Roman"/>
                <w:color w:val="777777"/>
                <w:sz w:val="24"/>
                <w:szCs w:val="24"/>
                <w:bdr w:val="none" w:sz="0" w:space="0" w:color="auto" w:frame="1"/>
                <w:lang w:eastAsia="ru-RU"/>
              </w:rPr>
              <w:t>семинар «Особенности охраны труда на малом предприятии»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. 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  <w:t>Участникам семинара расскажут о законодательной базе, содержании и порядке разработки плана мероприятий, а также о том, кто должен нести ответственность за отсутствие годового плана мероприятий по охране труда. Также спикер расскажет об изменениях законодательства по охране труда, практике применения требований Кодекса об административных правонарушениях. </w:t>
            </w:r>
          </w:p>
          <w:p w:rsidR="00D56821" w:rsidRPr="00D56821" w:rsidRDefault="00D56821" w:rsidP="00D56821">
            <w:pPr>
              <w:ind w:firstLine="0"/>
              <w:jc w:val="left"/>
              <w:textAlignment w:val="baseline"/>
              <w:rPr>
                <w:rFonts w:eastAsia="Times New Roman"/>
                <w:color w:val="777777"/>
                <w:sz w:val="24"/>
                <w:szCs w:val="24"/>
                <w:lang w:eastAsia="ru-RU"/>
              </w:rPr>
            </w:pP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</w:r>
            <w:r w:rsidRPr="00D56821">
              <w:rPr>
                <w:rFonts w:eastAsia="Times New Roman"/>
                <w:color w:val="777777"/>
                <w:sz w:val="24"/>
                <w:szCs w:val="24"/>
                <w:bdr w:val="none" w:sz="0" w:space="0" w:color="auto" w:frame="1"/>
                <w:lang w:eastAsia="ru-RU"/>
              </w:rPr>
              <w:t>Блоки семинара: 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  <w:t>1. Особенности организации работы по охране труда индивидуальных предпринимателей. 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  <w:t>2. Изменения законодательства по охране труда. Практика применения требований Кодекса об административных правонарушениях (штрафные санкции). 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  <w:t>В качестве спикера выступит </w:t>
            </w:r>
            <w:r w:rsidRPr="00D56821">
              <w:rPr>
                <w:rFonts w:eastAsia="Times New Roman"/>
                <w:color w:val="777777"/>
                <w:sz w:val="24"/>
                <w:szCs w:val="24"/>
                <w:bdr w:val="none" w:sz="0" w:space="0" w:color="auto" w:frame="1"/>
                <w:lang w:eastAsia="ru-RU"/>
              </w:rPr>
              <w:t>Елена Смирнова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 - директор частного образовательного учреждения дополнительного профессионального образования «Академия профессионального образования», эксперт Комиссии Общественной палаты Челябинской области по развитию образования и науки. 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</w:r>
            <w:r w:rsidRPr="00D56821">
              <w:rPr>
                <w:rFonts w:eastAsia="Times New Roman"/>
                <w:noProof/>
                <w:color w:val="777777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05ADED" wp14:editId="22EE01D1">
                  <wp:extent cx="7620000" cy="5391150"/>
                  <wp:effectExtent l="0" t="0" r="0" b="0"/>
                  <wp:docPr id="1" name="Рисунок 1" descr="ÐÑÐ¸ÑÐ°_Ð¡Ð¼Ð¸ÑÐ½Ð¾Ð²Ð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ÑÐ¸ÑÐ°_Ð¡Ð¼Ð¸ÑÐ½Ð¾Ð²Ð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39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</w:r>
            <w:r w:rsidRPr="00D56821">
              <w:rPr>
                <w:rFonts w:eastAsia="Times New Roman"/>
                <w:color w:val="777777"/>
                <w:sz w:val="24"/>
                <w:szCs w:val="24"/>
                <w:bdr w:val="none" w:sz="0" w:space="0" w:color="auto" w:frame="1"/>
                <w:lang w:eastAsia="ru-RU"/>
              </w:rPr>
              <w:t>Участие в мероприятии бесплатное!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 Необходима предварительная </w:t>
            </w:r>
            <w:r w:rsidRPr="00D56821">
              <w:rPr>
                <w:rFonts w:eastAsia="Times New Roman"/>
                <w:color w:val="777777"/>
                <w:sz w:val="24"/>
                <w:szCs w:val="24"/>
                <w:bdr w:val="none" w:sz="0" w:space="0" w:color="auto" w:frame="1"/>
                <w:lang w:eastAsia="ru-RU"/>
              </w:rPr>
              <w:t>регистрация по телефону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 8 800 350 24 74 или через </w:t>
            </w:r>
            <w:hyperlink r:id="rId6" w:tgtFrame="_blank" w:history="1">
              <w:r w:rsidRPr="00D56821">
                <w:rPr>
                  <w:rFonts w:eastAsia="Times New Roman"/>
                  <w:color w:val="5F86F2"/>
                  <w:sz w:val="24"/>
                  <w:szCs w:val="24"/>
                  <w:lang w:eastAsia="ru-RU"/>
                </w:rPr>
                <w:t>онлайн-форму</w:t>
              </w:r>
            </w:hyperlink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.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</w:r>
            <w:r w:rsidRPr="00D56821">
              <w:rPr>
                <w:rFonts w:eastAsia="Times New Roman"/>
                <w:color w:val="777777"/>
                <w:sz w:val="24"/>
                <w:szCs w:val="24"/>
                <w:bdr w:val="none" w:sz="0" w:space="0" w:color="auto" w:frame="1"/>
                <w:lang w:eastAsia="ru-RU"/>
              </w:rPr>
              <w:t>Дата мероприятия: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 4 апреля, с 10-00 до 12-00 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br/>
            </w:r>
            <w:r w:rsidRPr="00D56821">
              <w:rPr>
                <w:rFonts w:eastAsia="Times New Roman"/>
                <w:color w:val="777777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проведения:</w:t>
            </w:r>
            <w:r w:rsidRPr="00D56821">
              <w:rPr>
                <w:rFonts w:eastAsia="Times New Roman"/>
                <w:color w:val="777777"/>
                <w:sz w:val="24"/>
                <w:szCs w:val="24"/>
                <w:lang w:eastAsia="ru-RU"/>
              </w:rPr>
              <w:t> ул. Российская 110, к 1, 2 этаж </w:t>
            </w:r>
          </w:p>
        </w:tc>
      </w:tr>
    </w:tbl>
    <w:p w:rsidR="00626DEC" w:rsidRDefault="00F870F2" w:rsidP="00D56821">
      <w:pPr>
        <w:ind w:firstLine="0"/>
      </w:pPr>
      <w:hyperlink r:id="rId7" w:history="1">
        <w:r w:rsidR="004F38F3" w:rsidRPr="00582161">
          <w:rPr>
            <w:rStyle w:val="a5"/>
          </w:rPr>
          <w:t>https://xn--74-6kcdtbngab0dhyacwee4w.xn--p1ai/news/chto-nuzhno-znat-ob-okhrane-truda-podrobnosti-na-besplatnom-seminare/</w:t>
        </w:r>
      </w:hyperlink>
    </w:p>
    <w:p w:rsidR="004F38F3" w:rsidRDefault="004F38F3" w:rsidP="00D56821">
      <w:pPr>
        <w:ind w:firstLine="0"/>
      </w:pPr>
    </w:p>
    <w:sectPr w:rsidR="004F38F3" w:rsidSect="00D56821">
      <w:pgSz w:w="11906" w:h="16838"/>
      <w:pgMar w:top="1134" w:right="14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7E"/>
    <w:rsid w:val="001440FD"/>
    <w:rsid w:val="0028457E"/>
    <w:rsid w:val="004F38F3"/>
    <w:rsid w:val="00626DEC"/>
    <w:rsid w:val="00772839"/>
    <w:rsid w:val="00D56821"/>
    <w:rsid w:val="00F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639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829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chto-nuzhno-znat-ob-okhrane-truda-podrobnosti-na-besplatnom-seminar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6852338.stat-pulse.com/go/ec/%7B%7BEmailCode%7D%7D/ci/NjI0ODM5Mw==/ui/Njg1MjMzOA==/h/e5203e703e95d001c286990c45fc87ee/li/MTQxOTczNDk2/re/%7B%7Bb64_email%7D%7D/l/aHR0cHMlM0ElMkYlMkZ4bi0tNzQtNmtjZHRibmdhYjBkaHlhY3dlZTR3LnhuLS1wMWFpJTJGa2FsZW5kYXItbWVyb3ByaXlhdGl5JTJGNjQ1NSUyRg==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2018-04-03T09:28:00Z</dcterms:created>
  <dcterms:modified xsi:type="dcterms:W3CDTF">2018-04-04T06:48:00Z</dcterms:modified>
</cp:coreProperties>
</file>